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C15757" w14:textId="77777777" w:rsidR="00126264" w:rsidRDefault="00126264" w:rsidP="00CE68F8">
      <w:pPr>
        <w:pStyle w:val="Ttulo1"/>
        <w:pBdr>
          <w:bottom w:val="single" w:sz="4" w:space="1" w:color="auto"/>
        </w:pBdr>
        <w:spacing w:line="276" w:lineRule="auto"/>
        <w:rPr>
          <w:rFonts w:ascii="Arial" w:hAnsi="Arial" w:cs="Arial"/>
          <w:b/>
          <w:color w:val="0072BC"/>
          <w:sz w:val="28"/>
        </w:rPr>
      </w:pPr>
    </w:p>
    <w:p w14:paraId="3740B43E" w14:textId="77777777" w:rsidR="00126264" w:rsidRDefault="00126264" w:rsidP="00CE68F8">
      <w:pPr>
        <w:pStyle w:val="Ttulo1"/>
        <w:pBdr>
          <w:bottom w:val="single" w:sz="4" w:space="1" w:color="auto"/>
        </w:pBdr>
        <w:spacing w:line="276" w:lineRule="auto"/>
        <w:rPr>
          <w:rFonts w:ascii="Arial" w:hAnsi="Arial" w:cs="Arial"/>
          <w:b/>
          <w:color w:val="0072BC"/>
          <w:sz w:val="28"/>
        </w:rPr>
      </w:pPr>
    </w:p>
    <w:p w14:paraId="484F904E" w14:textId="77777777" w:rsidR="00B43235" w:rsidRPr="00CE68F8" w:rsidRDefault="0009682B" w:rsidP="00CE68F8">
      <w:pPr>
        <w:pStyle w:val="Ttulo1"/>
        <w:pBdr>
          <w:bottom w:val="single" w:sz="4" w:space="1" w:color="auto"/>
        </w:pBdr>
        <w:spacing w:line="276" w:lineRule="auto"/>
        <w:rPr>
          <w:rFonts w:ascii="Arial" w:hAnsi="Arial" w:cs="Arial"/>
          <w:b/>
          <w:color w:val="0072BC"/>
          <w:sz w:val="28"/>
        </w:rPr>
      </w:pPr>
      <w:r>
        <w:rPr>
          <w:rFonts w:ascii="Arial" w:hAnsi="Arial"/>
          <w:b/>
          <w:noProof/>
        </w:rPr>
        <w:drawing>
          <wp:anchor distT="0" distB="0" distL="114300" distR="114300" simplePos="0" relativeHeight="251661312" behindDoc="0" locked="0" layoutInCell="1" allowOverlap="1" wp14:anchorId="6AB18367" wp14:editId="370AE9B3">
            <wp:simplePos x="0" y="0"/>
            <wp:positionH relativeFrom="column">
              <wp:posOffset>5763260</wp:posOffset>
            </wp:positionH>
            <wp:positionV relativeFrom="paragraph">
              <wp:posOffset>-137531</wp:posOffset>
            </wp:positionV>
            <wp:extent cx="819785" cy="196850"/>
            <wp:effectExtent l="0" t="0" r="5715" b="6350"/>
            <wp:wrapNone/>
            <wp:docPr id="6" name="Picture 6" descr="A picture containing drawing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HCR Logo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9785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38B4455B" wp14:editId="76D578EA">
            <wp:simplePos x="0" y="0"/>
            <wp:positionH relativeFrom="margin">
              <wp:posOffset>4718446</wp:posOffset>
            </wp:positionH>
            <wp:positionV relativeFrom="paragraph">
              <wp:posOffset>-248645</wp:posOffset>
            </wp:positionV>
            <wp:extent cx="1045210" cy="342900"/>
            <wp:effectExtent l="0" t="0" r="0" b="0"/>
            <wp:wrapNone/>
            <wp:docPr id="4" name="Picture 4" descr="A picture containing drawing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521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color w:val="0072BC"/>
          <w:sz w:val="28"/>
        </w:rPr>
        <w:t xml:space="preserve">Herramienta de Reporte 2: Monitoreo del Mercado </w:t>
      </w:r>
    </w:p>
    <w:p w14:paraId="2F5FDBC0" w14:textId="77777777" w:rsidR="009A2271" w:rsidRPr="00C01F41" w:rsidRDefault="00CB1A14" w:rsidP="009A2271">
      <w:pPr>
        <w:rPr>
          <w:i/>
          <w:color w:val="7B7B7B" w:themeColor="accent3" w:themeShade="BF"/>
          <w:sz w:val="22"/>
        </w:rPr>
      </w:pPr>
      <w:r>
        <w:rPr>
          <w:i/>
          <w:color w:val="7B7B7B" w:themeColor="accent3" w:themeShade="BF"/>
          <w:sz w:val="22"/>
        </w:rPr>
        <w:t>Esta herramienta sugiere un esquema y el contenido relacionado para un reporte de monitoreo de mercado. Se puede adaptar según el contexto local. Si el seguimiento del mercado forma parte de una colaboración inter-agencias, utilice las mismas plantillas y metodologías que otras agencias.</w:t>
      </w:r>
    </w:p>
    <w:p w14:paraId="0B7E1F4F" w14:textId="77777777" w:rsidR="00647D88" w:rsidRDefault="00647D88" w:rsidP="00657E74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0083C2EA" w14:textId="77777777" w:rsidR="00DB5D15" w:rsidRDefault="00DB5D15" w:rsidP="00657E74">
      <w:pPr>
        <w:spacing w:line="276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 xml:space="preserve">Cargo: </w:t>
      </w:r>
    </w:p>
    <w:p w14:paraId="59D93ABC" w14:textId="77777777" w:rsidR="00DB5D15" w:rsidRDefault="00DB5D15" w:rsidP="00657E74">
      <w:pPr>
        <w:spacing w:line="276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>Organización:</w:t>
      </w:r>
    </w:p>
    <w:p w14:paraId="7DAF332F" w14:textId="77777777" w:rsidR="00DB5D15" w:rsidRDefault="00DB5D15" w:rsidP="00657E74">
      <w:pPr>
        <w:spacing w:line="276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>Fecha:</w:t>
      </w:r>
    </w:p>
    <w:p w14:paraId="454B852A" w14:textId="77777777" w:rsidR="00DB5D15" w:rsidRDefault="00DB5D15" w:rsidP="00657E74">
      <w:pPr>
        <w:spacing w:line="276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>Mercados:</w:t>
      </w:r>
    </w:p>
    <w:p w14:paraId="7D407618" w14:textId="77777777" w:rsidR="00DB5D15" w:rsidRDefault="00DB5D15" w:rsidP="00657E74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2CFF6EC1" w14:textId="77777777" w:rsidR="00DB5D15" w:rsidRDefault="00DB5D15" w:rsidP="00647D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line="276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 xml:space="preserve">Resumen de los principales hallazgos: </w:t>
      </w:r>
    </w:p>
    <w:p w14:paraId="5E48BBA7" w14:textId="77777777" w:rsidR="00DB5D15" w:rsidRDefault="00DB5D15" w:rsidP="00647D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line="276" w:lineRule="auto"/>
        <w:rPr>
          <w:rFonts w:ascii="Arial" w:hAnsi="Arial" w:cs="Arial"/>
          <w:bCs/>
          <w:sz w:val="20"/>
          <w:szCs w:val="20"/>
        </w:rPr>
      </w:pPr>
      <w:r>
        <w:rPr>
          <w:rFonts w:ascii="Arial" w:hAnsi="Arial"/>
          <w:bCs/>
          <w:sz w:val="20"/>
          <w:szCs w:val="20"/>
        </w:rPr>
        <w:t>* Proporcione un resumen de los bienes y servicios monitoreados</w:t>
      </w:r>
    </w:p>
    <w:p w14:paraId="2753D1D5" w14:textId="77777777" w:rsidR="00DB5D15" w:rsidRDefault="00DB5D15" w:rsidP="00647D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line="276" w:lineRule="auto"/>
        <w:rPr>
          <w:rFonts w:ascii="Arial" w:hAnsi="Arial" w:cs="Arial"/>
          <w:bCs/>
          <w:sz w:val="20"/>
          <w:szCs w:val="20"/>
        </w:rPr>
      </w:pPr>
      <w:r>
        <w:rPr>
          <w:rFonts w:ascii="Arial" w:hAnsi="Arial"/>
          <w:bCs/>
          <w:sz w:val="20"/>
          <w:szCs w:val="20"/>
        </w:rPr>
        <w:t>* Proporcione un resumen de los cambios clave en los precios y la disponibilidad de bienes y servicios</w:t>
      </w:r>
    </w:p>
    <w:p w14:paraId="55A59BE3" w14:textId="77777777" w:rsidR="00DB5D15" w:rsidRPr="00DB5D15" w:rsidRDefault="00DB5D15" w:rsidP="00647D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line="276" w:lineRule="auto"/>
        <w:rPr>
          <w:rFonts w:ascii="Arial" w:hAnsi="Arial" w:cs="Arial"/>
          <w:bCs/>
          <w:sz w:val="20"/>
          <w:szCs w:val="20"/>
        </w:rPr>
      </w:pPr>
      <w:r>
        <w:rPr>
          <w:rFonts w:ascii="Arial" w:hAnsi="Arial"/>
          <w:bCs/>
          <w:sz w:val="20"/>
          <w:szCs w:val="20"/>
        </w:rPr>
        <w:t>* Proporcione un resumen de los factores potenciales que conducen a los cambios en precios y/o disponibilidad</w:t>
      </w:r>
    </w:p>
    <w:p w14:paraId="4D5A468E" w14:textId="77777777" w:rsidR="00DB5D15" w:rsidRDefault="00DB5D15" w:rsidP="00657E74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1B518F6D" w14:textId="77777777" w:rsidR="00DB5D15" w:rsidRDefault="00DB5D15" w:rsidP="00657E74">
      <w:pPr>
        <w:spacing w:line="276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>Introducción:</w:t>
      </w:r>
    </w:p>
    <w:p w14:paraId="22F81A46" w14:textId="77777777" w:rsidR="008F277D" w:rsidRPr="008F277D" w:rsidRDefault="008F277D" w:rsidP="008F277D">
      <w:pPr>
        <w:pStyle w:val="Prrafodelista"/>
        <w:numPr>
          <w:ilvl w:val="0"/>
          <w:numId w:val="3"/>
        </w:numPr>
        <w:spacing w:line="276" w:lineRule="auto"/>
        <w:rPr>
          <w:rFonts w:ascii="Arial" w:hAnsi="Arial" w:cs="Arial"/>
          <w:bCs/>
          <w:sz w:val="20"/>
          <w:szCs w:val="20"/>
        </w:rPr>
      </w:pPr>
      <w:r>
        <w:rPr>
          <w:rFonts w:ascii="Arial" w:hAnsi="Arial"/>
          <w:bCs/>
          <w:sz w:val="20"/>
          <w:szCs w:val="20"/>
        </w:rPr>
        <w:t>Objetivo del monitoreo del mercado, por ejemplo, informar sobre el costo de la MEB</w:t>
      </w:r>
    </w:p>
    <w:p w14:paraId="2314A275" w14:textId="77777777" w:rsidR="00DB5D15" w:rsidRPr="008F277D" w:rsidRDefault="008F277D" w:rsidP="008F277D">
      <w:pPr>
        <w:pStyle w:val="Prrafodelista"/>
        <w:numPr>
          <w:ilvl w:val="0"/>
          <w:numId w:val="3"/>
        </w:numPr>
        <w:spacing w:line="276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/>
          <w:bCs/>
          <w:sz w:val="20"/>
          <w:szCs w:val="20"/>
        </w:rPr>
        <w:t>Descripción general de los bienes y servicios que se están monitoreando, por ejemplo, MEB y lo que contiene</w:t>
      </w:r>
    </w:p>
    <w:p w14:paraId="69A930BA" w14:textId="77777777" w:rsidR="008F277D" w:rsidRPr="008F277D" w:rsidRDefault="008F277D" w:rsidP="008F277D">
      <w:pPr>
        <w:pStyle w:val="Prrafodelista"/>
        <w:numPr>
          <w:ilvl w:val="0"/>
          <w:numId w:val="3"/>
        </w:numPr>
        <w:spacing w:line="276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/>
          <w:bCs/>
          <w:sz w:val="20"/>
          <w:szCs w:val="20"/>
        </w:rPr>
        <w:t>Visión general de los mercados incluidos en el monitoreo particular</w:t>
      </w:r>
    </w:p>
    <w:p w14:paraId="1ABF41B0" w14:textId="77777777" w:rsidR="00DB5D15" w:rsidRDefault="00DB5D15" w:rsidP="00657E74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3647C8EA" w14:textId="77777777" w:rsidR="00DB5D15" w:rsidRDefault="00DB5D15" w:rsidP="00657E74">
      <w:pPr>
        <w:spacing w:line="276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>Metodología:</w:t>
      </w:r>
    </w:p>
    <w:p w14:paraId="7AF399E3" w14:textId="77777777" w:rsidR="00DB5D15" w:rsidRPr="00DE39A8" w:rsidRDefault="008F277D" w:rsidP="008F277D">
      <w:pPr>
        <w:pStyle w:val="Prrafodelista"/>
        <w:numPr>
          <w:ilvl w:val="0"/>
          <w:numId w:val="4"/>
        </w:numPr>
        <w:spacing w:line="276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/>
          <w:bCs/>
          <w:sz w:val="20"/>
          <w:szCs w:val="20"/>
        </w:rPr>
        <w:t>Resumen de la metodología aplicada para recopilar datos</w:t>
      </w:r>
    </w:p>
    <w:p w14:paraId="6E639458" w14:textId="77777777" w:rsidR="00DE39A8" w:rsidRPr="008F277D" w:rsidRDefault="00DE39A8" w:rsidP="008F277D">
      <w:pPr>
        <w:pStyle w:val="Prrafodelista"/>
        <w:numPr>
          <w:ilvl w:val="0"/>
          <w:numId w:val="4"/>
        </w:numPr>
        <w:spacing w:line="276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/>
          <w:bCs/>
          <w:sz w:val="20"/>
          <w:szCs w:val="20"/>
        </w:rPr>
        <w:t>Mencione cualquier desafío o limitación</w:t>
      </w:r>
    </w:p>
    <w:p w14:paraId="7D3EEFF9" w14:textId="77777777" w:rsidR="00DB5D15" w:rsidRDefault="00DB5D15" w:rsidP="00657E74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728914F8" w14:textId="77777777" w:rsidR="00DB5D15" w:rsidRDefault="00DB5D15" w:rsidP="00657E74">
      <w:pPr>
        <w:spacing w:line="276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>Resultados:</w:t>
      </w:r>
    </w:p>
    <w:p w14:paraId="0FF6757E" w14:textId="77777777" w:rsidR="00DE39A8" w:rsidRDefault="00DB5D15" w:rsidP="00657E74">
      <w:pPr>
        <w:pStyle w:val="Prrafodelista"/>
        <w:numPr>
          <w:ilvl w:val="0"/>
          <w:numId w:val="4"/>
        </w:numPr>
        <w:spacing w:line="276" w:lineRule="auto"/>
        <w:rPr>
          <w:rFonts w:ascii="Arial" w:hAnsi="Arial" w:cs="Arial"/>
          <w:bCs/>
          <w:sz w:val="20"/>
          <w:szCs w:val="20"/>
        </w:rPr>
      </w:pPr>
      <w:r>
        <w:rPr>
          <w:rFonts w:ascii="Arial" w:hAnsi="Arial"/>
          <w:bCs/>
          <w:sz w:val="20"/>
          <w:szCs w:val="20"/>
        </w:rPr>
        <w:t>Captura de pantalla del cuadro de precios de mercado y cambios frente al punto de referencia (por MEB y por mercado)</w:t>
      </w:r>
    </w:p>
    <w:p w14:paraId="7D061EF0" w14:textId="77777777" w:rsidR="00DE39A8" w:rsidRDefault="00DB5D15" w:rsidP="00DE39A8">
      <w:pPr>
        <w:pStyle w:val="Prrafodelista"/>
        <w:numPr>
          <w:ilvl w:val="0"/>
          <w:numId w:val="4"/>
        </w:numPr>
        <w:spacing w:line="276" w:lineRule="auto"/>
        <w:rPr>
          <w:rFonts w:ascii="Arial" w:hAnsi="Arial" w:cs="Arial"/>
          <w:bCs/>
          <w:sz w:val="20"/>
          <w:szCs w:val="20"/>
        </w:rPr>
      </w:pPr>
      <w:r>
        <w:rPr>
          <w:rFonts w:ascii="Arial" w:hAnsi="Arial"/>
          <w:bCs/>
          <w:sz w:val="20"/>
          <w:szCs w:val="20"/>
        </w:rPr>
        <w:t>Gráfico de las tendencias de los precios a lo largo del tiempo (bienes o servicios individuales o por MEB)</w:t>
      </w:r>
    </w:p>
    <w:p w14:paraId="6EDDD7EB" w14:textId="77777777" w:rsidR="00126264" w:rsidRDefault="00DE39A8" w:rsidP="00126264">
      <w:pPr>
        <w:pStyle w:val="Prrafodelista"/>
        <w:numPr>
          <w:ilvl w:val="0"/>
          <w:numId w:val="4"/>
        </w:numPr>
        <w:spacing w:line="276" w:lineRule="auto"/>
        <w:rPr>
          <w:rFonts w:ascii="Arial" w:hAnsi="Arial" w:cs="Arial"/>
          <w:bCs/>
          <w:sz w:val="20"/>
          <w:szCs w:val="20"/>
        </w:rPr>
      </w:pPr>
      <w:r>
        <w:rPr>
          <w:rFonts w:ascii="Arial" w:hAnsi="Arial"/>
          <w:bCs/>
          <w:sz w:val="20"/>
          <w:szCs w:val="20"/>
        </w:rPr>
        <w:t>Análisis de los factores que llevaron al cambio de precios (si aplica)</w:t>
      </w:r>
    </w:p>
    <w:p w14:paraId="4FB14097" w14:textId="14BCD63E" w:rsidR="00126264" w:rsidRDefault="00126264" w:rsidP="00126264">
      <w:pPr>
        <w:pStyle w:val="Prrafodelista"/>
        <w:numPr>
          <w:ilvl w:val="0"/>
          <w:numId w:val="4"/>
        </w:numPr>
        <w:spacing w:line="276" w:lineRule="auto"/>
        <w:rPr>
          <w:rFonts w:ascii="Arial" w:hAnsi="Arial" w:cs="Arial"/>
          <w:bCs/>
          <w:sz w:val="20"/>
          <w:szCs w:val="20"/>
        </w:rPr>
      </w:pPr>
      <w:r>
        <w:rPr>
          <w:rFonts w:ascii="Arial" w:hAnsi="Arial"/>
          <w:bCs/>
          <w:sz w:val="20"/>
          <w:szCs w:val="20"/>
        </w:rPr>
        <w:t xml:space="preserve">Análisis de los factores que </w:t>
      </w:r>
      <w:r w:rsidR="006179BD">
        <w:rPr>
          <w:rFonts w:ascii="Arial" w:hAnsi="Arial"/>
          <w:bCs/>
          <w:sz w:val="20"/>
          <w:szCs w:val="20"/>
        </w:rPr>
        <w:t>llevaron</w:t>
      </w:r>
      <w:r>
        <w:rPr>
          <w:rFonts w:ascii="Arial" w:hAnsi="Arial"/>
          <w:bCs/>
          <w:sz w:val="20"/>
          <w:szCs w:val="20"/>
        </w:rPr>
        <w:t xml:space="preserve"> a los cambios en la disponibilidad (si procede)</w:t>
      </w:r>
    </w:p>
    <w:p w14:paraId="5E07C230" w14:textId="77777777" w:rsidR="00C82E30" w:rsidRPr="00126264" w:rsidRDefault="00C82E30" w:rsidP="00126264">
      <w:pPr>
        <w:pStyle w:val="Prrafodelista"/>
        <w:numPr>
          <w:ilvl w:val="0"/>
          <w:numId w:val="4"/>
        </w:numPr>
        <w:spacing w:line="276" w:lineRule="auto"/>
        <w:rPr>
          <w:rFonts w:ascii="Arial" w:hAnsi="Arial" w:cs="Arial"/>
          <w:bCs/>
          <w:sz w:val="20"/>
          <w:szCs w:val="20"/>
        </w:rPr>
      </w:pPr>
      <w:r>
        <w:rPr>
          <w:rFonts w:ascii="Arial" w:hAnsi="Arial"/>
          <w:bCs/>
          <w:sz w:val="20"/>
          <w:szCs w:val="20"/>
        </w:rPr>
        <w:t>Acciones de seguimiento recomendadas</w:t>
      </w:r>
    </w:p>
    <w:sectPr w:rsidR="00C82E30" w:rsidRPr="00126264" w:rsidSect="00CE68F8">
      <w:headerReference w:type="default" r:id="rId13"/>
      <w:footerReference w:type="default" r:id="rId14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7ED3D3" w14:textId="77777777" w:rsidR="00907534" w:rsidRDefault="00907534" w:rsidP="00B43235">
      <w:r>
        <w:separator/>
      </w:r>
    </w:p>
  </w:endnote>
  <w:endnote w:type="continuationSeparator" w:id="0">
    <w:p w14:paraId="465E02DC" w14:textId="77777777" w:rsidR="00907534" w:rsidRDefault="00907534" w:rsidP="00B432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charset w:val="00"/>
    <w:family w:val="auto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37681224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111D86A" w14:textId="77777777" w:rsidR="008308AA" w:rsidRDefault="008308AA">
            <w:pPr>
              <w:pStyle w:val="Piedepgina"/>
              <w:jc w:val="right"/>
            </w:pPr>
            <w:r>
              <w:t xml:space="preserve">Página </w:t>
            </w:r>
            <w:r w:rsidRPr="008308AA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8308AA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PAGE </w:instrText>
            </w:r>
            <w:r w:rsidRPr="008308AA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CE68F8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Pr="008308AA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>
              <w:t xml:space="preserve"> de </w:t>
            </w:r>
            <w:r w:rsidRPr="008308AA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8308AA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NUMPAGES  </w:instrText>
            </w:r>
            <w:r w:rsidRPr="008308AA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CE68F8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Pr="008308AA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74A8280E" w14:textId="77777777" w:rsidR="008308AA" w:rsidRDefault="008308A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4FAEBD" w14:textId="77777777" w:rsidR="00907534" w:rsidRDefault="00907534" w:rsidP="00B43235">
      <w:r>
        <w:separator/>
      </w:r>
    </w:p>
  </w:footnote>
  <w:footnote w:type="continuationSeparator" w:id="0">
    <w:p w14:paraId="4D83271B" w14:textId="77777777" w:rsidR="00907534" w:rsidRDefault="00907534" w:rsidP="00B432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1FF312" w14:textId="77777777" w:rsidR="00453737" w:rsidRPr="00453737" w:rsidRDefault="00CE68F8" w:rsidP="0009682B">
    <w:pPr>
      <w:pStyle w:val="Encabezado"/>
      <w:rPr>
        <w:rFonts w:ascii="Arial" w:hAnsi="Arial" w:cs="Arial"/>
        <w:b/>
      </w:rPr>
    </w:pPr>
    <w:r>
      <w:rPr>
        <w:rFonts w:ascii="Arial" w:hAnsi="Arial"/>
        <w:b/>
        <w:color w:val="0072BC"/>
      </w:rPr>
      <w:t>Guía y Kit de herramientas de MSMA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87757"/>
    <w:multiLevelType w:val="hybridMultilevel"/>
    <w:tmpl w:val="756E5FE8"/>
    <w:lvl w:ilvl="0" w:tplc="B0E2718C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A14312"/>
    <w:multiLevelType w:val="hybridMultilevel"/>
    <w:tmpl w:val="6CB49E4A"/>
    <w:lvl w:ilvl="0" w:tplc="1AC8DAAA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84B9C"/>
    <w:multiLevelType w:val="hybridMultilevel"/>
    <w:tmpl w:val="ECD8BB44"/>
    <w:lvl w:ilvl="0" w:tplc="1AC8DAAA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8A2E66"/>
    <w:multiLevelType w:val="hybridMultilevel"/>
    <w:tmpl w:val="ED8A4C28"/>
    <w:lvl w:ilvl="0" w:tplc="1AC8DAAA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2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3235"/>
    <w:rsid w:val="000409B7"/>
    <w:rsid w:val="0009682B"/>
    <w:rsid w:val="000A3D37"/>
    <w:rsid w:val="000A419E"/>
    <w:rsid w:val="000D57ED"/>
    <w:rsid w:val="00102007"/>
    <w:rsid w:val="00114200"/>
    <w:rsid w:val="00126264"/>
    <w:rsid w:val="001545AB"/>
    <w:rsid w:val="0016451C"/>
    <w:rsid w:val="0017177D"/>
    <w:rsid w:val="0017343C"/>
    <w:rsid w:val="001815CD"/>
    <w:rsid w:val="0018439D"/>
    <w:rsid w:val="001D6007"/>
    <w:rsid w:val="001E27EE"/>
    <w:rsid w:val="001F3143"/>
    <w:rsid w:val="00260F23"/>
    <w:rsid w:val="00302341"/>
    <w:rsid w:val="00306714"/>
    <w:rsid w:val="0032554F"/>
    <w:rsid w:val="00351A79"/>
    <w:rsid w:val="003827F9"/>
    <w:rsid w:val="00385086"/>
    <w:rsid w:val="003E6BD3"/>
    <w:rsid w:val="00411931"/>
    <w:rsid w:val="00423EE2"/>
    <w:rsid w:val="0043243D"/>
    <w:rsid w:val="00453737"/>
    <w:rsid w:val="004C09ED"/>
    <w:rsid w:val="004E6196"/>
    <w:rsid w:val="005005FC"/>
    <w:rsid w:val="00510789"/>
    <w:rsid w:val="00515595"/>
    <w:rsid w:val="00517C78"/>
    <w:rsid w:val="005B7DD3"/>
    <w:rsid w:val="005E50CF"/>
    <w:rsid w:val="005E693B"/>
    <w:rsid w:val="006004DA"/>
    <w:rsid w:val="00603D7E"/>
    <w:rsid w:val="006179BD"/>
    <w:rsid w:val="006407CE"/>
    <w:rsid w:val="00641C3B"/>
    <w:rsid w:val="00647D88"/>
    <w:rsid w:val="00651C6F"/>
    <w:rsid w:val="00653AEE"/>
    <w:rsid w:val="00657E74"/>
    <w:rsid w:val="0066486F"/>
    <w:rsid w:val="00673B51"/>
    <w:rsid w:val="006B5859"/>
    <w:rsid w:val="007013AB"/>
    <w:rsid w:val="00743B77"/>
    <w:rsid w:val="007A1EA8"/>
    <w:rsid w:val="00822E5B"/>
    <w:rsid w:val="008308AA"/>
    <w:rsid w:val="008322FE"/>
    <w:rsid w:val="00872ACB"/>
    <w:rsid w:val="008846EB"/>
    <w:rsid w:val="008B160E"/>
    <w:rsid w:val="008F277D"/>
    <w:rsid w:val="00907534"/>
    <w:rsid w:val="009223E7"/>
    <w:rsid w:val="00933BEB"/>
    <w:rsid w:val="009370FA"/>
    <w:rsid w:val="009A2271"/>
    <w:rsid w:val="009C1EBD"/>
    <w:rsid w:val="009C2E9B"/>
    <w:rsid w:val="009D25CD"/>
    <w:rsid w:val="009D2B36"/>
    <w:rsid w:val="009E2498"/>
    <w:rsid w:val="009E2E08"/>
    <w:rsid w:val="009F308B"/>
    <w:rsid w:val="009F6B4B"/>
    <w:rsid w:val="00A04855"/>
    <w:rsid w:val="00A407D7"/>
    <w:rsid w:val="00A52272"/>
    <w:rsid w:val="00A97449"/>
    <w:rsid w:val="00AB03C9"/>
    <w:rsid w:val="00AB5109"/>
    <w:rsid w:val="00AF18C6"/>
    <w:rsid w:val="00AF28C8"/>
    <w:rsid w:val="00B2692C"/>
    <w:rsid w:val="00B43235"/>
    <w:rsid w:val="00B54EBA"/>
    <w:rsid w:val="00B92366"/>
    <w:rsid w:val="00B949B6"/>
    <w:rsid w:val="00BC314B"/>
    <w:rsid w:val="00BC728B"/>
    <w:rsid w:val="00BD1613"/>
    <w:rsid w:val="00BD33B4"/>
    <w:rsid w:val="00BD78D6"/>
    <w:rsid w:val="00C01F41"/>
    <w:rsid w:val="00C4041A"/>
    <w:rsid w:val="00C46339"/>
    <w:rsid w:val="00C82E30"/>
    <w:rsid w:val="00C90608"/>
    <w:rsid w:val="00C97CFA"/>
    <w:rsid w:val="00CB1A14"/>
    <w:rsid w:val="00CC24A2"/>
    <w:rsid w:val="00CE68F8"/>
    <w:rsid w:val="00CF5B84"/>
    <w:rsid w:val="00D04E19"/>
    <w:rsid w:val="00D408A9"/>
    <w:rsid w:val="00D77F9F"/>
    <w:rsid w:val="00D953C4"/>
    <w:rsid w:val="00DA277D"/>
    <w:rsid w:val="00DB5D15"/>
    <w:rsid w:val="00DC53D8"/>
    <w:rsid w:val="00DE39A8"/>
    <w:rsid w:val="00E100F0"/>
    <w:rsid w:val="00E34C41"/>
    <w:rsid w:val="00E81643"/>
    <w:rsid w:val="00EE255D"/>
    <w:rsid w:val="00EE4A38"/>
    <w:rsid w:val="00EF2BD7"/>
    <w:rsid w:val="00F4505A"/>
    <w:rsid w:val="00F610ED"/>
    <w:rsid w:val="00FA41CA"/>
    <w:rsid w:val="00FD7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DC957F"/>
  <w15:chartTrackingRefBased/>
  <w15:docId w15:val="{3EA27E6D-82E4-44E4-AE4F-982FFA83E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3235"/>
    <w:pPr>
      <w:spacing w:after="0" w:line="240" w:lineRule="auto"/>
    </w:pPr>
    <w:rPr>
      <w:sz w:val="24"/>
      <w:szCs w:val="24"/>
    </w:rPr>
  </w:style>
  <w:style w:type="paragraph" w:styleId="Ttulo1">
    <w:name w:val="heading 1"/>
    <w:basedOn w:val="Normal"/>
    <w:next w:val="Normal"/>
    <w:link w:val="Ttulo1Car"/>
    <w:uiPriority w:val="9"/>
    <w:qFormat/>
    <w:rsid w:val="00B4323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6451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16451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E619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4323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s-CO"/>
    </w:rPr>
  </w:style>
  <w:style w:type="paragraph" w:styleId="Prrafodelista">
    <w:name w:val="List Paragraph"/>
    <w:basedOn w:val="Normal"/>
    <w:link w:val="PrrafodelistaCar"/>
    <w:uiPriority w:val="34"/>
    <w:qFormat/>
    <w:rsid w:val="00B43235"/>
    <w:pPr>
      <w:ind w:left="720"/>
      <w:contextualSpacing/>
    </w:p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B43235"/>
    <w:rPr>
      <w:sz w:val="24"/>
      <w:szCs w:val="24"/>
      <w:lang w:val="es-CO"/>
    </w:rPr>
  </w:style>
  <w:style w:type="table" w:styleId="Tablaconcuadrcula">
    <w:name w:val="Table Grid"/>
    <w:basedOn w:val="Tablanormal"/>
    <w:uiPriority w:val="39"/>
    <w:rsid w:val="00B43235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notaalpie">
    <w:name w:val="footnote reference"/>
    <w:aliases w:val="BVI fnr,BVI fnr Car Car,BVI fnr Car,BVI fnr Car Car Car Car,BVI fnr Car Car Car Car Char,ftref, BVI fnr,16 Point,Superscript 6 Point,Normal + Font:9 Point,Superscript 3 Point Times"/>
    <w:uiPriority w:val="99"/>
    <w:rsid w:val="00B43235"/>
    <w:rPr>
      <w:vertAlign w:val="superscript"/>
    </w:rPr>
  </w:style>
  <w:style w:type="paragraph" w:styleId="Textocomentario">
    <w:name w:val="annotation text"/>
    <w:basedOn w:val="Normal"/>
    <w:link w:val="TextocomentarioCar"/>
    <w:uiPriority w:val="99"/>
    <w:unhideWhenUsed/>
    <w:rsid w:val="00B43235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B43235"/>
    <w:rPr>
      <w:sz w:val="20"/>
      <w:szCs w:val="20"/>
      <w:lang w:val="es-CO"/>
    </w:rPr>
  </w:style>
  <w:style w:type="paragraph" w:styleId="Encabezado">
    <w:name w:val="header"/>
    <w:basedOn w:val="Normal"/>
    <w:link w:val="EncabezadoCar"/>
    <w:uiPriority w:val="99"/>
    <w:unhideWhenUsed/>
    <w:rsid w:val="00453737"/>
    <w:pPr>
      <w:tabs>
        <w:tab w:val="center" w:pos="4513"/>
        <w:tab w:val="right" w:pos="9026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53737"/>
    <w:rPr>
      <w:sz w:val="24"/>
      <w:szCs w:val="24"/>
      <w:lang w:val="es-CO"/>
    </w:rPr>
  </w:style>
  <w:style w:type="paragraph" w:styleId="Piedepgina">
    <w:name w:val="footer"/>
    <w:basedOn w:val="Normal"/>
    <w:link w:val="PiedepginaCar"/>
    <w:uiPriority w:val="99"/>
    <w:unhideWhenUsed/>
    <w:rsid w:val="00453737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53737"/>
    <w:rPr>
      <w:sz w:val="24"/>
      <w:szCs w:val="24"/>
      <w:lang w:val="es-CO"/>
    </w:rPr>
  </w:style>
  <w:style w:type="paragraph" w:styleId="Textonotapie">
    <w:name w:val="footnote text"/>
    <w:aliases w:val="Testo nota a piè di pagina Carattere,Geneva 9,Font: Geneva 9,Boston 10,f,single space,Char,FOOTNOTES,fn,Footnote Text Char Char Char Char,Footnote Text Char Char Char,ADB,Footnote Text Char Char Char Char Char,Footnote Text Char Char1"/>
    <w:basedOn w:val="Normal"/>
    <w:link w:val="TextonotapieCar"/>
    <w:uiPriority w:val="99"/>
    <w:unhideWhenUsed/>
    <w:rsid w:val="00351A79"/>
    <w:rPr>
      <w:rFonts w:asciiTheme="majorHAnsi" w:eastAsiaTheme="minorEastAsia" w:hAnsiTheme="majorHAnsi" w:cs="ArialMT"/>
    </w:rPr>
  </w:style>
  <w:style w:type="character" w:customStyle="1" w:styleId="TextonotapieCar">
    <w:name w:val="Texto nota pie Car"/>
    <w:aliases w:val="Testo nota a piè di pagina Carattere Car,Geneva 9 Car,Font: Geneva 9 Car,Boston 10 Car,f Car,single space Car,Char Car,FOOTNOTES Car,fn Car,Footnote Text Char Char Char Char Car,Footnote Text Char Char Char Car,ADB Car"/>
    <w:basedOn w:val="Fuentedeprrafopredeter"/>
    <w:link w:val="Textonotapie"/>
    <w:uiPriority w:val="99"/>
    <w:rsid w:val="00351A79"/>
    <w:rPr>
      <w:rFonts w:asciiTheme="majorHAnsi" w:eastAsiaTheme="minorEastAsia" w:hAnsiTheme="majorHAnsi" w:cs="ArialMT"/>
      <w:sz w:val="24"/>
      <w:szCs w:val="24"/>
      <w:lang w:val="es-CO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6451C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s-CO"/>
    </w:rPr>
  </w:style>
  <w:style w:type="character" w:customStyle="1" w:styleId="Ttulo3Car">
    <w:name w:val="Título 3 Car"/>
    <w:basedOn w:val="Fuentedeprrafopredeter"/>
    <w:link w:val="Ttulo3"/>
    <w:uiPriority w:val="9"/>
    <w:rsid w:val="0016451C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s-CO"/>
    </w:rPr>
  </w:style>
  <w:style w:type="table" w:styleId="Sombreadoclaro-nfasis2">
    <w:name w:val="Light Shading Accent 2"/>
    <w:basedOn w:val="Tablanormal"/>
    <w:uiPriority w:val="60"/>
    <w:rsid w:val="00AF28C8"/>
    <w:pPr>
      <w:spacing w:after="0" w:line="240" w:lineRule="auto"/>
    </w:pPr>
    <w:rPr>
      <w:rFonts w:asciiTheme="majorHAnsi" w:eastAsiaTheme="minorEastAsia" w:hAnsiTheme="majorHAnsi" w:cs="ArialMT"/>
      <w:color w:val="C45911" w:themeColor="accent2" w:themeShade="BF"/>
      <w:sz w:val="20"/>
      <w:szCs w:val="20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paragraph" w:styleId="NormalWeb">
    <w:name w:val="Normal (Web)"/>
    <w:basedOn w:val="Normal"/>
    <w:uiPriority w:val="99"/>
    <w:semiHidden/>
    <w:unhideWhenUsed/>
    <w:rsid w:val="00AF28C8"/>
    <w:pPr>
      <w:spacing w:before="100" w:beforeAutospacing="1" w:after="100" w:afterAutospacing="1"/>
    </w:pPr>
    <w:rPr>
      <w:rFonts w:ascii="Times" w:eastAsiaTheme="minorEastAsia" w:hAnsi="Times" w:cs="Times New Roman"/>
      <w:sz w:val="20"/>
      <w:szCs w:val="20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E6196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val="es-CO"/>
    </w:rPr>
  </w:style>
  <w:style w:type="table" w:styleId="Sombreadomedio1-nfasis2">
    <w:name w:val="Medium Shading 1 Accent 2"/>
    <w:basedOn w:val="Tablanormal"/>
    <w:uiPriority w:val="63"/>
    <w:rsid w:val="003E6BD3"/>
    <w:pPr>
      <w:spacing w:after="0" w:line="240" w:lineRule="auto"/>
    </w:pPr>
    <w:rPr>
      <w:rFonts w:asciiTheme="majorHAnsi" w:eastAsiaTheme="minorEastAsia" w:hAnsiTheme="majorHAnsi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C97CFA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97CFA"/>
    <w:rPr>
      <w:rFonts w:ascii="Segoe UI" w:hAnsi="Segoe UI" w:cs="Segoe UI"/>
      <w:sz w:val="18"/>
      <w:szCs w:val="18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CE7162EA6CD74D8DEFE054AD4C16B0" ma:contentTypeVersion="11" ma:contentTypeDescription="Create a new document." ma:contentTypeScope="" ma:versionID="434463b6d83f3c97b106f2a3e588554b">
  <xsd:schema xmlns:xsd="http://www.w3.org/2001/XMLSchema" xmlns:xs="http://www.w3.org/2001/XMLSchema" xmlns:p="http://schemas.microsoft.com/office/2006/metadata/properties" xmlns:ns2="b51ac414-4c09-4658-abdf-4d7741ac963c" xmlns:ns3="4c83806d-1aa3-4ae5-b3e0-5527f1132511" targetNamespace="http://schemas.microsoft.com/office/2006/metadata/properties" ma:root="true" ma:fieldsID="6f6cede3f4695bde26d1ec8a1db76419" ns2:_="" ns3:_="">
    <xsd:import namespace="b51ac414-4c09-4658-abdf-4d7741ac963c"/>
    <xsd:import namespace="4c83806d-1aa3-4ae5-b3e0-5527f11325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1ac414-4c09-4658-abdf-4d7741ac96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83806d-1aa3-4ae5-b3e0-5527f113251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E06969-D89E-4661-ABFB-9563709C3EE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9CFB5FD-4136-46AD-82CD-CC2E22DCC7A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FB1BED0-C77D-4A50-B40A-E8F1E9AB6BE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4D5A6F2-128F-4AEF-B6FE-DA039817F5E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232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UNHCR</Company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Renate Heileman</dc:creator>
  <cp:keywords/>
  <dc:description/>
  <cp:lastModifiedBy>Carlos Javier Rivera</cp:lastModifiedBy>
  <cp:revision>2</cp:revision>
  <dcterms:created xsi:type="dcterms:W3CDTF">2020-10-13T15:34:00Z</dcterms:created>
  <dcterms:modified xsi:type="dcterms:W3CDTF">2020-12-16T21:18:00Z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0x01010019CE7162EA6CD74D8DEFE054AD4C16B0</vt:lpwstr>
  </property>
</Properties>
</file>